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98" w:rsidRDefault="00643D55" w:rsidP="00D31CD0">
      <w:pPr>
        <w:adjustRightInd w:val="0"/>
        <w:snapToGrid w:val="0"/>
        <w:spacing w:line="560" w:lineRule="exact"/>
        <w:outlineLvl w:val="0"/>
        <w:rPr>
          <w:rFonts w:cs="仿宋_GB2312"/>
          <w:szCs w:val="32"/>
        </w:rPr>
      </w:pPr>
      <w:bookmarkStart w:id="0" w:name="_GoBack"/>
      <w:bookmarkEnd w:id="0"/>
      <w:r w:rsidRPr="00D31CD0">
        <w:rPr>
          <w:rFonts w:ascii="黑体" w:eastAsia="黑体" w:hAnsi="黑体" w:cs="黑体" w:hint="eastAsia"/>
          <w:szCs w:val="32"/>
        </w:rPr>
        <w:t>附件</w:t>
      </w:r>
      <w:r>
        <w:rPr>
          <w:rFonts w:cs="仿宋_GB2312" w:hint="eastAsia"/>
          <w:szCs w:val="32"/>
        </w:rPr>
        <w:t>6</w:t>
      </w:r>
    </w:p>
    <w:p w:rsidR="00DC6B98" w:rsidRDefault="00DC6B98" w:rsidP="00D31CD0">
      <w:pPr>
        <w:adjustRightInd w:val="0"/>
        <w:snapToGrid w:val="0"/>
        <w:spacing w:line="560" w:lineRule="exact"/>
        <w:jc w:val="center"/>
        <w:rPr>
          <w:rFonts w:eastAsia="方正小标宋_GBK"/>
          <w:sz w:val="44"/>
          <w:szCs w:val="44"/>
        </w:rPr>
      </w:pPr>
    </w:p>
    <w:p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丰收信用卡村务卡领用合约</w:t>
      </w:r>
      <w:r>
        <w:rPr>
          <w:rFonts w:eastAsia="方正小标宋_GBK" w:cs="方正小标宋_GBK" w:hint="eastAsia"/>
          <w:sz w:val="44"/>
          <w:szCs w:val="40"/>
        </w:rPr>
        <w:t>（</w:t>
      </w:r>
      <w:r>
        <w:rPr>
          <w:rFonts w:eastAsia="方正小标宋_GBK" w:cs="方正小标宋_GBK" w:hint="eastAsia"/>
          <w:sz w:val="44"/>
          <w:szCs w:val="40"/>
        </w:rPr>
        <w:t>2022</w:t>
      </w:r>
      <w:r>
        <w:rPr>
          <w:rFonts w:eastAsia="方正小标宋_GBK" w:cs="方正小标宋_GBK" w:hint="eastAsia"/>
          <w:sz w:val="44"/>
          <w:szCs w:val="40"/>
        </w:rPr>
        <w:t>版）</w:t>
      </w:r>
    </w:p>
    <w:p w:rsidR="00DC6B98" w:rsidRDefault="00DC6B98" w:rsidP="00D31CD0">
      <w:pPr>
        <w:adjustRightInd w:val="0"/>
        <w:snapToGrid w:val="0"/>
        <w:spacing w:line="560" w:lineRule="exact"/>
        <w:jc w:val="center"/>
        <w:rPr>
          <w:rFonts w:eastAsia="方正小标宋_GBK"/>
          <w:sz w:val="10"/>
          <w:szCs w:val="10"/>
        </w:rPr>
      </w:pPr>
    </w:p>
    <w:p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在阅读、理解并自愿遵守《浙江农商银行系统丰收信用卡章程》（以下简称章程）的基础上，丰收信用卡村务卡申请人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持卡人（以下简称客户）与浙江农商银行系统（含辖内所有农商银行、农信联社）发卡机构（以下简称发卡机构）就领用丰收信用卡村务卡的相关事宜达成共识，并签订合约如下：</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sidRPr="00D31CD0">
        <w:rPr>
          <w:rFonts w:ascii="黑体" w:eastAsia="黑体" w:hAnsi="黑体" w:cs="黑体"/>
          <w:szCs w:val="24"/>
        </w:rPr>
        <w:t xml:space="preserve"> </w:t>
      </w:r>
      <w:r>
        <w:rPr>
          <w:rFonts w:hint="eastAsia"/>
          <w:szCs w:val="24"/>
        </w:rPr>
        <w:t xml:space="preserve"> </w:t>
      </w:r>
      <w:r>
        <w:rPr>
          <w:rFonts w:hint="eastAsia"/>
          <w:szCs w:val="24"/>
        </w:rPr>
        <w:t>申领</w:t>
      </w:r>
    </w:p>
    <w:p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w:t>
      </w:r>
      <w:r>
        <w:rPr>
          <w:rFonts w:hint="eastAsia"/>
          <w:szCs w:val="24"/>
        </w:rPr>
        <w:t>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发行的，可用于日常村级公务支出和财务报销的银联品牌人民币个人信用卡。村务卡</w:t>
      </w:r>
      <w:r>
        <w:rPr>
          <w:rFonts w:hint="eastAsia"/>
          <w:szCs w:val="24"/>
        </w:rPr>
        <w:t>可在信用额度内先使用后还款，并可循环使用其信用额度，具有消费、存现的基本功能，但无取现、分期付款等功能。</w:t>
      </w:r>
    </w:p>
    <w:p w:rsidR="00DC6B98" w:rsidRDefault="00643D55">
      <w:pPr>
        <w:adjustRightInd w:val="0"/>
        <w:snapToGrid w:val="0"/>
        <w:spacing w:line="560" w:lineRule="exact"/>
        <w:ind w:firstLineChars="200" w:firstLine="640"/>
        <w:rPr>
          <w:szCs w:val="24"/>
        </w:rPr>
      </w:pPr>
      <w:r>
        <w:rPr>
          <w:rFonts w:hint="eastAsia"/>
          <w:szCs w:val="24"/>
        </w:rPr>
        <w:t>村务卡使用村务卡专用账户并只能申请卡等级为金卡的主卡，即一卡一账户。</w:t>
      </w:r>
    </w:p>
    <w:p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村务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rsidR="00DC6B98" w:rsidRDefault="00643D55">
      <w:pPr>
        <w:adjustRightInd w:val="0"/>
        <w:snapToGrid w:val="0"/>
        <w:spacing w:line="560" w:lineRule="exact"/>
        <w:ind w:firstLineChars="200" w:firstLine="640"/>
        <w:rPr>
          <w:szCs w:val="24"/>
        </w:rPr>
      </w:pPr>
      <w:r>
        <w:rPr>
          <w:rFonts w:hint="eastAsia"/>
          <w:szCs w:val="24"/>
        </w:rPr>
        <w:lastRenderedPageBreak/>
        <w:t>3.</w:t>
      </w:r>
      <w:r>
        <w:rPr>
          <w:rFonts w:hint="eastAsia"/>
          <w:szCs w:val="24"/>
        </w:rPr>
        <w:t>发卡机构有权根据客户的资信状况决定是否同意客户的领卡申请并确定其账户信用额度。</w:t>
      </w:r>
    </w:p>
    <w:p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客户对村务卡项下发生的债务承担全部清偿责任。如客户从所在的村集体组织离职，客户所在的村集体组织有权向发卡机构书面提出停止客户村务卡的使用。</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 xml:space="preserve">  </w:t>
      </w:r>
      <w:r>
        <w:rPr>
          <w:rFonts w:hint="eastAsia"/>
          <w:szCs w:val="24"/>
        </w:rPr>
        <w:t>使用</w:t>
      </w:r>
    </w:p>
    <w:p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客户收到村务卡后应及时激活</w:t>
      </w:r>
      <w:r>
        <w:rPr>
          <w:rFonts w:hint="eastAsia"/>
          <w:szCs w:val="24"/>
        </w:rPr>
        <w:t>卡片，卡片激活后方可享受信用额度。村务卡激活后，客户应支付年费，此后每年年费按对年对月的方式由发卡机构在客户村务卡账户中收取。客户转账使用信用额度的合计金额不得超过村务卡账户授信额度的</w:t>
      </w:r>
      <w:r>
        <w:rPr>
          <w:rFonts w:hint="eastAsia"/>
          <w:szCs w:val="24"/>
        </w:rPr>
        <w:t>50%</w:t>
      </w:r>
      <w:r>
        <w:rPr>
          <w:rFonts w:hint="eastAsia"/>
          <w:szCs w:val="24"/>
        </w:rPr>
        <w:t>。</w:t>
      </w:r>
    </w:p>
    <w:p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w:t>
      </w:r>
      <w:r>
        <w:rPr>
          <w:rFonts w:hint="eastAsia"/>
          <w:szCs w:val="24"/>
        </w:rPr>
        <w:lastRenderedPageBreak/>
        <w:t>网点</w:t>
      </w:r>
      <w:r>
        <w:rPr>
          <w:rFonts w:hint="eastAsia"/>
          <w:szCs w:val="24"/>
        </w:rPr>
        <w:t>存入人民币现金。</w:t>
      </w:r>
    </w:p>
    <w:p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客户在境外通过银联网络使用村务卡进行的交易以人民币进行结算，由此所产生的其他货币与人民币的清算汇率依照中国银联的规定办理，客户同意承担因上述情形可能产生的所有汇兑风险、损失和费用。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rsidR="00DC6B98" w:rsidRDefault="00643D55">
      <w:pPr>
        <w:adjustRightInd w:val="0"/>
        <w:snapToGrid w:val="0"/>
        <w:spacing w:line="560" w:lineRule="exact"/>
        <w:ind w:firstLineChars="200" w:firstLine="643"/>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w:t>
      </w:r>
      <w:r>
        <w:rPr>
          <w:rFonts w:hint="eastAsia"/>
          <w:b/>
          <w:szCs w:val="24"/>
        </w:rPr>
        <w:t>费时，无需输入密码也无需在电子付款凭证上签名确认即可完成支付。</w:t>
      </w:r>
      <w:r>
        <w:rPr>
          <w:rFonts w:hint="eastAsia"/>
          <w:b/>
          <w:szCs w:val="32"/>
        </w:rPr>
        <w:t>闪付、小额免密免签交易等非接触式交易均视为本人交易，客户需承担因交易而产生的责任。</w:t>
      </w:r>
      <w:r>
        <w:rPr>
          <w:rFonts w:hint="eastAsia"/>
          <w:b/>
          <w:szCs w:val="24"/>
        </w:rPr>
        <w:t>客户可通过发卡机构营业网点、电话银行渠道选择关闭“小额免密免签”功能。</w:t>
      </w:r>
    </w:p>
    <w:p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w:t>
      </w:r>
      <w:r>
        <w:rPr>
          <w:rFonts w:hint="eastAsia"/>
          <w:szCs w:val="24"/>
        </w:rPr>
        <w:t>信息，身份证件号码、电话号码等个人信息以及指纹、面部特征等个人生物特征信息等要素中的一项或多项（以下简称</w:t>
      </w:r>
      <w:r>
        <w:rPr>
          <w:rFonts w:hint="eastAsia"/>
          <w:szCs w:val="24"/>
        </w:rPr>
        <w:t>验证要素</w:t>
      </w:r>
      <w:r>
        <w:rPr>
          <w:rFonts w:hint="eastAsia"/>
          <w:szCs w:val="24"/>
        </w:rPr>
        <w:t>）进行</w:t>
      </w:r>
      <w:r>
        <w:rPr>
          <w:rFonts w:hint="eastAsia"/>
          <w:szCs w:val="24"/>
        </w:rPr>
        <w:lastRenderedPageBreak/>
        <w:t>交易确认。</w:t>
      </w:r>
    </w:p>
    <w:p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w:t>
      </w:r>
      <w:r>
        <w:rPr>
          <w:rFonts w:hint="eastAsia"/>
          <w:b/>
          <w:bCs/>
          <w:szCs w:val="32"/>
        </w:rPr>
        <w:t>用卡、密码、移动设备以及验证要素保管或使用不当产生的后果或损失应由客户自行承担。</w:t>
      </w:r>
    </w:p>
    <w:p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客户因使用村务卡而发生的交易款项、利息和费用等，由发卡机构在客户账户内直接以人民币记账。客户承担透支款项的还款责任，并在对账单所规定的到期还款日或之前还款。</w:t>
      </w:r>
    </w:p>
    <w:p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客户与特约商户或其它第三方的交易纠纷应自行解决，发卡机构不负任何责任，客户不得以此拒偿因使用村务卡交易所产生的债务，客户也不得以退还使用村务卡交易取得的货物等方式向发卡机构索取退款。</w:t>
      </w:r>
    </w:p>
    <w:p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发卡机构可以根据客户资信状况、村务卡的使用状况</w:t>
      </w:r>
      <w:r>
        <w:rPr>
          <w:rFonts w:hint="eastAsia"/>
          <w:b/>
          <w:bCs/>
          <w:szCs w:val="32"/>
        </w:rPr>
        <w:t>动态管理客户授信额度，对符合条件的客户，经客户同意后可调升村务卡授信额度</w:t>
      </w:r>
      <w:r>
        <w:rPr>
          <w:rFonts w:hint="eastAsia"/>
          <w:b/>
          <w:szCs w:val="24"/>
        </w:rPr>
        <w:t>。发卡机构可以对超过</w:t>
      </w:r>
      <w:r>
        <w:rPr>
          <w:rFonts w:hint="eastAsia"/>
          <w:b/>
          <w:szCs w:val="24"/>
        </w:rPr>
        <w:t>6</w:t>
      </w:r>
      <w:r>
        <w:rPr>
          <w:rFonts w:hint="eastAsia"/>
          <w:b/>
          <w:szCs w:val="24"/>
        </w:rPr>
        <w:t>个月未发生交易的村务卡调减信用额度并提前</w:t>
      </w:r>
      <w:r>
        <w:rPr>
          <w:rFonts w:hint="eastAsia"/>
          <w:b/>
          <w:szCs w:val="24"/>
        </w:rPr>
        <w:t>3</w:t>
      </w:r>
      <w:r>
        <w:rPr>
          <w:rFonts w:hint="eastAsia"/>
          <w:b/>
          <w:szCs w:val="24"/>
        </w:rPr>
        <w:t>个工作日以短信或其他合适的方式告知客户。客户无论收到通知与否均须清偿已经</w:t>
      </w:r>
      <w:r>
        <w:rPr>
          <w:rFonts w:hint="eastAsia"/>
          <w:b/>
          <w:szCs w:val="24"/>
        </w:rPr>
        <w:lastRenderedPageBreak/>
        <w:t>发生的交易款项、利息及费用或其他应付款项。</w:t>
      </w:r>
    </w:p>
    <w:p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w:t>
      </w:r>
      <w:r>
        <w:rPr>
          <w:rFonts w:hint="eastAsia"/>
          <w:b/>
          <w:szCs w:val="24"/>
        </w:rPr>
        <w:t>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遗失或被窃村务卡无持卡人签名。挂失生效前村务卡产生的损失由持卡人承担，发卡机构不承担任何责任，但发卡机构存在法律、法规规定的过错或与持卡人另有约定的除外。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rsidR="00DC6B98" w:rsidRDefault="00643D55">
      <w:pPr>
        <w:adjustRightInd w:val="0"/>
        <w:snapToGrid w:val="0"/>
        <w:spacing w:line="560" w:lineRule="exact"/>
        <w:ind w:firstLineChars="200" w:firstLine="640"/>
        <w:rPr>
          <w:szCs w:val="24"/>
        </w:rPr>
      </w:pPr>
      <w:r>
        <w:rPr>
          <w:rFonts w:hint="eastAsia"/>
          <w:szCs w:val="24"/>
        </w:rPr>
        <w:t>9.</w:t>
      </w:r>
      <w:r>
        <w:rPr>
          <w:rFonts w:hint="eastAsia"/>
          <w:szCs w:val="24"/>
        </w:rPr>
        <w:t>村务卡损坏时，客户可向发卡机构要求办理补换卡手续并按规定支付补换卡手续费。</w:t>
      </w:r>
    </w:p>
    <w:p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）客户出租、出售或转借卡</w:t>
      </w:r>
      <w:r>
        <w:rPr>
          <w:rFonts w:hint="eastAsia"/>
          <w:b/>
          <w:szCs w:val="24"/>
        </w:rPr>
        <w:t>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）出现身份证件被盗用、家庭财务状况恶化、还款能力下降、预留联系方式失效、资信状况恶化、有非正常用卡行为或其他风险信息时；（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w:t>
      </w:r>
      <w:r>
        <w:rPr>
          <w:rFonts w:hint="eastAsia"/>
          <w:b/>
          <w:szCs w:val="24"/>
        </w:rPr>
        <w:lastRenderedPageBreak/>
        <w:t>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）中止客户使用村务卡；（</w:t>
      </w:r>
      <w:r>
        <w:rPr>
          <w:rFonts w:hint="eastAsia"/>
          <w:b/>
          <w:szCs w:val="24"/>
        </w:rPr>
        <w:t>4</w:t>
      </w:r>
      <w:r>
        <w:rPr>
          <w:rFonts w:hint="eastAsia"/>
          <w:b/>
          <w:szCs w:val="24"/>
        </w:rPr>
        <w:t>）自行收回或授权所属机构和特约商户没收村务卡；（</w:t>
      </w:r>
      <w:r>
        <w:rPr>
          <w:rFonts w:hint="eastAsia"/>
          <w:b/>
          <w:szCs w:val="24"/>
        </w:rPr>
        <w:t>5</w:t>
      </w:r>
      <w:r>
        <w:rPr>
          <w:rFonts w:hint="eastAsia"/>
          <w:b/>
          <w:szCs w:val="24"/>
        </w:rPr>
        <w:t>）将客户村务卡列入止付名单。</w:t>
      </w:r>
      <w:r>
        <w:rPr>
          <w:rFonts w:hint="eastAsia"/>
          <w:b/>
          <w:szCs w:val="24"/>
        </w:rPr>
        <w:t>在以上情况下，客户应继续承担偿还全部欠款的义务，且全部未偿债务均视为到期并须一次性清偿。发卡机构采取以上措施后有权决定是否通知客户。</w:t>
      </w:r>
    </w:p>
    <w:p w:rsidR="00DC6B98" w:rsidRDefault="00643D55">
      <w:pPr>
        <w:adjustRightInd w:val="0"/>
        <w:snapToGrid w:val="0"/>
        <w:spacing w:line="560" w:lineRule="exact"/>
        <w:ind w:firstLineChars="200" w:firstLine="643"/>
        <w:rPr>
          <w:b/>
          <w:szCs w:val="24"/>
        </w:rPr>
      </w:pPr>
      <w:r>
        <w:rPr>
          <w:rFonts w:hint="eastAsia"/>
          <w:b/>
          <w:szCs w:val="24"/>
        </w:rPr>
        <w:t>11.</w:t>
      </w:r>
      <w:r>
        <w:rPr>
          <w:rFonts w:hint="eastAsia"/>
          <w:b/>
          <w:szCs w:val="24"/>
        </w:rPr>
        <w:t>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w:t>
      </w:r>
      <w:r>
        <w:rPr>
          <w:rFonts w:hint="eastAsia"/>
          <w:b/>
          <w:szCs w:val="24"/>
        </w:rPr>
        <w:t>的村务卡消费、转账等交易设定限制或限额。</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 xml:space="preserve">  </w:t>
      </w:r>
      <w:r>
        <w:rPr>
          <w:rFonts w:hint="eastAsia"/>
          <w:szCs w:val="24"/>
        </w:rPr>
        <w:t>对账</w:t>
      </w:r>
    </w:p>
    <w:p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客户有权向发卡机构索取对账单，自索取日起前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w:t>
      </w:r>
      <w:r>
        <w:rPr>
          <w:rFonts w:hint="eastAsia"/>
          <w:b/>
          <w:szCs w:val="24"/>
        </w:rPr>
        <w:lastRenderedPageBreak/>
        <w:t>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w:t>
      </w:r>
      <w:r>
        <w:rPr>
          <w:rFonts w:hint="eastAsia"/>
          <w:b/>
          <w:szCs w:val="24"/>
        </w:rPr>
        <w:t>协助查核时，客户应提供与争端交易相关的文件，因客户在规定时限内没有提供相关文件而导致的损失由客户承担。</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sidRPr="00D31CD0">
        <w:rPr>
          <w:rFonts w:ascii="黑体" w:eastAsia="黑体" w:hAnsi="黑体" w:cs="黑体"/>
          <w:szCs w:val="24"/>
        </w:rPr>
        <w:t xml:space="preserve"> </w:t>
      </w:r>
      <w:r>
        <w:rPr>
          <w:rFonts w:hint="eastAsia"/>
          <w:szCs w:val="24"/>
        </w:rPr>
        <w:t xml:space="preserve"> </w:t>
      </w:r>
      <w:r>
        <w:rPr>
          <w:rFonts w:hint="eastAsia"/>
          <w:szCs w:val="24"/>
        </w:rPr>
        <w:t>计息及还款</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w:t>
      </w:r>
      <w:r>
        <w:rPr>
          <w:rFonts w:hint="eastAsia"/>
          <w:szCs w:val="24"/>
        </w:rPr>
        <w:t>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rsidR="00DC6B98" w:rsidRDefault="00643D55">
      <w:pPr>
        <w:adjustRightInd w:val="0"/>
        <w:snapToGrid w:val="0"/>
        <w:spacing w:line="560" w:lineRule="exact"/>
        <w:ind w:firstLineChars="200" w:firstLine="643"/>
        <w:rPr>
          <w:b/>
          <w:szCs w:val="24"/>
        </w:rPr>
      </w:pPr>
      <w:r>
        <w:rPr>
          <w:rFonts w:hint="eastAsia"/>
          <w:b/>
          <w:szCs w:val="24"/>
        </w:rPr>
        <w:lastRenderedPageBreak/>
        <w:t>3.</w:t>
      </w:r>
      <w:r>
        <w:rPr>
          <w:rFonts w:hint="eastAsia"/>
          <w:b/>
          <w:szCs w:val="24"/>
        </w:rPr>
        <w:t>客户未能在到期还款日（含）前全额还款的（上期应还款额未清偿部分小于或等于</w:t>
      </w:r>
      <w:r>
        <w:rPr>
          <w:rFonts w:hint="eastAsia"/>
          <w:b/>
          <w:szCs w:val="24"/>
        </w:rPr>
        <w:t>10</w:t>
      </w:r>
      <w:r>
        <w:rPr>
          <w:rFonts w:hint="eastAsia"/>
          <w:b/>
          <w:szCs w:val="24"/>
        </w:rPr>
        <w:t>元的除外）不享受免息还款期待遇。</w:t>
      </w:r>
    </w:p>
    <w:p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不享受免息还款期待遇的，已偿还部分按透支利率计收自银行记账日至还款日的利息，未偿还部分按透支利率自银行记账日持续计息。</w:t>
      </w:r>
    </w:p>
    <w:p w:rsidR="00DC6B98" w:rsidRDefault="00643D55">
      <w:pPr>
        <w:adjustRightInd w:val="0"/>
        <w:snapToGrid w:val="0"/>
        <w:spacing w:line="560" w:lineRule="exact"/>
        <w:ind w:firstLineChars="200" w:firstLine="643"/>
        <w:rPr>
          <w:b/>
          <w:szCs w:val="24"/>
        </w:rPr>
      </w:pPr>
      <w:r>
        <w:rPr>
          <w:rFonts w:hint="eastAsia"/>
          <w:b/>
          <w:szCs w:val="24"/>
        </w:rPr>
        <w:t>如还款后上期应还款额未清偿部分小于或等于</w:t>
      </w:r>
      <w:r>
        <w:rPr>
          <w:rFonts w:hint="eastAsia"/>
          <w:b/>
          <w:szCs w:val="24"/>
        </w:rPr>
        <w:t>10</w:t>
      </w:r>
      <w:r>
        <w:rPr>
          <w:rFonts w:hint="eastAsia"/>
          <w:b/>
          <w:szCs w:val="24"/>
        </w:rPr>
        <w:t>元，则剩余未清偿金额中属于转账交易的按透支利率自银行记账日持续计息，除转账外的交易的</w:t>
      </w:r>
      <w:r>
        <w:rPr>
          <w:rFonts w:hint="eastAsia"/>
          <w:b/>
          <w:szCs w:val="24"/>
        </w:rPr>
        <w:t>未偿还部分免息。</w:t>
      </w:r>
    </w:p>
    <w:p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村务卡透支利率为日利率万分之五，对应的年化利率（单利）为</w:t>
      </w:r>
      <w:r>
        <w:rPr>
          <w:b/>
          <w:szCs w:val="24"/>
        </w:rPr>
        <w:t xml:space="preserve"> 18</w:t>
      </w:r>
      <w:r>
        <w:rPr>
          <w:rFonts w:hint="eastAsia"/>
          <w:b/>
          <w:szCs w:val="24"/>
        </w:rPr>
        <w:t>.25</w:t>
      </w:r>
      <w:r>
        <w:rPr>
          <w:b/>
          <w:szCs w:val="24"/>
        </w:rPr>
        <w:t>%</w:t>
      </w:r>
      <w:r>
        <w:rPr>
          <w:rFonts w:hint="eastAsia"/>
          <w:b/>
          <w:szCs w:val="24"/>
        </w:rPr>
        <w:t>，受大小月天数不同等客观因素的影响，实际年化利率与上述年化利率可能存在差异。若发卡机构对客户村务卡账户的透支利率变动，将以</w:t>
      </w:r>
      <w:r>
        <w:rPr>
          <w:rFonts w:hint="eastAsia"/>
          <w:b/>
          <w:szCs w:val="32"/>
        </w:rPr>
        <w:t>网站公告</w:t>
      </w:r>
      <w:r>
        <w:rPr>
          <w:rFonts w:hint="eastAsia"/>
          <w:b/>
          <w:szCs w:val="32"/>
        </w:rPr>
        <w:t>、官方微信、手机银行、网上银行、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rsidR="00DC6B98" w:rsidRDefault="00643D55">
      <w:pPr>
        <w:adjustRightInd w:val="0"/>
        <w:snapToGrid w:val="0"/>
        <w:spacing w:line="560" w:lineRule="exact"/>
        <w:ind w:firstLineChars="200" w:firstLine="643"/>
        <w:rPr>
          <w:b/>
          <w:szCs w:val="24"/>
        </w:rPr>
      </w:pPr>
      <w:r>
        <w:rPr>
          <w:rFonts w:hint="eastAsia"/>
          <w:b/>
          <w:szCs w:val="24"/>
        </w:rPr>
        <w:lastRenderedPageBreak/>
        <w:t>8.</w:t>
      </w:r>
      <w:r>
        <w:rPr>
          <w:rFonts w:hint="eastAsia"/>
          <w:b/>
          <w:szCs w:val="24"/>
        </w:rPr>
        <w:t>对于村务卡内的存款，发卡机构不计付利息。</w:t>
      </w:r>
    </w:p>
    <w:p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w:t>
      </w:r>
      <w:r>
        <w:rPr>
          <w:rFonts w:hint="eastAsia"/>
          <w:szCs w:val="24"/>
        </w:rPr>
        <w:t>客户选择以其名下在浙江农商银行系统开立的个人结算账户（包括丰收借记卡或存折）自动转账还款，则客户授权发卡机构在到期还款日日终后从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w:t>
      </w:r>
      <w:r>
        <w:rPr>
          <w:rFonts w:hint="eastAsia"/>
          <w:b/>
          <w:szCs w:val="24"/>
        </w:rPr>
        <w:t>承担。</w:t>
      </w:r>
    </w:p>
    <w:p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 xml:space="preserve">  </w:t>
      </w:r>
      <w:r>
        <w:rPr>
          <w:rFonts w:hint="eastAsia"/>
          <w:szCs w:val="24"/>
        </w:rPr>
        <w:t>欠款催收及抵欠</w:t>
      </w:r>
    </w:p>
    <w:p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w:t>
      </w:r>
      <w:r>
        <w:rPr>
          <w:rFonts w:hint="eastAsia"/>
          <w:b/>
          <w:szCs w:val="24"/>
        </w:rPr>
        <w:lastRenderedPageBreak/>
        <w:t>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24"/>
        </w:rPr>
        <w:t>发卡机构在实现债权过程中发生的合理费用均由客户承担，包括但不限于诉讼费、委托费、律师费等。</w:t>
      </w:r>
    </w:p>
    <w:p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 xml:space="preserve">  </w:t>
      </w:r>
      <w:r>
        <w:rPr>
          <w:rFonts w:hint="eastAsia"/>
          <w:szCs w:val="24"/>
        </w:rPr>
        <w:t>有效期</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村务卡卡片的有效期最长为</w:t>
      </w:r>
      <w:r>
        <w:rPr>
          <w:rFonts w:hint="eastAsia"/>
          <w:b/>
          <w:szCs w:val="24"/>
        </w:rPr>
        <w:t>5</w:t>
      </w:r>
      <w:r>
        <w:rPr>
          <w:rFonts w:hint="eastAsia"/>
          <w:b/>
          <w:szCs w:val="24"/>
        </w:rPr>
        <w:t>年，具体以村务卡正面印制的有效期为准，过期自动失效，但客户使用村务卡所发生的债权债务关系并不因村务卡到期失效而消灭或改变。</w:t>
      </w:r>
    </w:p>
    <w:p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 xml:space="preserve">  </w:t>
      </w:r>
      <w:r>
        <w:rPr>
          <w:rFonts w:hint="eastAsia"/>
          <w:szCs w:val="24"/>
        </w:rPr>
        <w:t>其他</w:t>
      </w:r>
    </w:p>
    <w:p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w:t>
      </w:r>
      <w:r>
        <w:rPr>
          <w:rFonts w:hint="eastAsia"/>
          <w:szCs w:val="24"/>
        </w:rPr>
        <w:lastRenderedPageBreak/>
        <w:t>（</w:t>
      </w:r>
      <w:r>
        <w:rPr>
          <w:rFonts w:hint="eastAsia"/>
          <w:szCs w:val="24"/>
        </w:rPr>
        <w:t>包括但不限于通讯地址、手机号码、电话号码、身份证号码等资料</w:t>
      </w:r>
      <w:r>
        <w:rPr>
          <w:rFonts w:hint="eastAsia"/>
          <w:szCs w:val="24"/>
        </w:rPr>
        <w:t>）</w:t>
      </w:r>
      <w:r>
        <w:rPr>
          <w:rFonts w:hint="eastAsia"/>
          <w:szCs w:val="24"/>
        </w:rPr>
        <w:t>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w:t>
      </w:r>
      <w:r>
        <w:rPr>
          <w:rFonts w:hint="eastAsia"/>
          <w:b/>
          <w:szCs w:val="24"/>
        </w:rPr>
        <w:t>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w:t>
      </w:r>
      <w:r>
        <w:rPr>
          <w:rFonts w:hint="eastAsia"/>
          <w:b/>
          <w:szCs w:val="24"/>
        </w:rPr>
        <w:t>律法规转让、处置对客户享有的全部或部分债权，并可通过公告或手机短信、信函、邮件或电话等方式通知持卡人债权转让及处置事宜。</w:t>
      </w:r>
    </w:p>
    <w:p w:rsidR="00DC6B98" w:rsidRDefault="00643D55">
      <w:pPr>
        <w:adjustRightInd w:val="0"/>
        <w:snapToGrid w:val="0"/>
        <w:spacing w:line="560" w:lineRule="exact"/>
        <w:ind w:firstLineChars="200" w:firstLine="643"/>
        <w:rPr>
          <w:b/>
          <w:szCs w:val="24"/>
        </w:rPr>
      </w:pPr>
      <w:r>
        <w:rPr>
          <w:b/>
          <w:szCs w:val="24"/>
        </w:rPr>
        <w:lastRenderedPageBreak/>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w:t>
      </w:r>
      <w:r>
        <w:rPr>
          <w:rFonts w:hint="eastAsia"/>
          <w:b/>
          <w:szCs w:val="32"/>
        </w:rPr>
        <w:t>可向发卡机构要求取消授权。</w:t>
      </w:r>
    </w:p>
    <w:p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。发卡机构公告方式：手机银行、微信</w:t>
      </w:r>
      <w:r>
        <w:rPr>
          <w:rFonts w:hint="eastAsia"/>
          <w:szCs w:val="24"/>
        </w:rPr>
        <w:t>银行、互联网网站（</w:t>
      </w:r>
      <w:r>
        <w:rPr>
          <w:rFonts w:hint="eastAsia"/>
          <w:szCs w:val="24"/>
        </w:rPr>
        <w:t>www.zj96596.com</w:t>
      </w:r>
      <w:r>
        <w:rPr>
          <w:rFonts w:hint="eastAsia"/>
          <w:szCs w:val="24"/>
        </w:rPr>
        <w:t>）或发卡机构网站、营业网点等。</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村务卡申请表、章程和收费表是本合约的组成部分。本合约构成对章程的解释和补充，章程修改导致本合约与章程发生冲突时应以章程为准。</w:t>
      </w:r>
    </w:p>
    <w:p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本合约由发卡机构负责制定和修改。根据国家政策要求或发卡机构经营管理和风险控制等需要，发卡机构有权对本合约作出修改，包括但不限于对利率、年费、手续费、免息还款等的调整。发卡机构将</w:t>
      </w:r>
      <w:r>
        <w:rPr>
          <w:rFonts w:hint="eastAsia"/>
          <w:b/>
          <w:szCs w:val="24"/>
        </w:rPr>
        <w:t>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rsidR="00DC6B98" w:rsidRDefault="00643D55">
      <w:pPr>
        <w:adjustRightInd w:val="0"/>
        <w:snapToGrid w:val="0"/>
        <w:spacing w:line="560" w:lineRule="exact"/>
        <w:ind w:firstLineChars="200" w:firstLine="640"/>
        <w:rPr>
          <w:szCs w:val="24"/>
        </w:rPr>
      </w:pPr>
      <w:r>
        <w:rPr>
          <w:rFonts w:hint="eastAsia"/>
          <w:szCs w:val="24"/>
        </w:rPr>
        <w:lastRenderedPageBreak/>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客户在使用浙江农商银行系统电子银行及银联无卡支付、银联在线支付及其他电子支付（例如支付宝支付、财付通支付等）等业务时，还需遵守该类服务相关规定。</w:t>
      </w:r>
    </w:p>
    <w:p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w:t>
      </w:r>
      <w:r>
        <w:rPr>
          <w:rFonts w:hint="eastAsia"/>
          <w:b/>
          <w:szCs w:val="24"/>
        </w:rPr>
        <w:t>或协商不成的，由发卡机构所在地人民法院受理。</w:t>
      </w:r>
    </w:p>
    <w:p w:rsidR="00DC6B98" w:rsidRDefault="00643D55">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w:t>
      </w:r>
      <w:r>
        <w:rPr>
          <w:rFonts w:hint="eastAsia"/>
          <w:b/>
          <w:bCs/>
          <w:szCs w:val="24"/>
        </w:rPr>
        <w:t>为送达；司法机关按上述通讯地址送达调解书、裁定书、判决书等法律文书，若无人签收或拒收的，则文书退回之日视为送达，并由客户承担后果。</w:t>
      </w:r>
    </w:p>
    <w:p w:rsidR="00DC6B98" w:rsidRDefault="00643D55">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客户确认的上述送达方式适用于催收及各个司法阶段，司法阶段包括但不限于一审、二审、再审、执行以及督促程序。</w:t>
      </w:r>
    </w:p>
    <w:p w:rsidR="00DC6B98" w:rsidRDefault="00643D55">
      <w:pPr>
        <w:adjustRightInd w:val="0"/>
        <w:snapToGrid w:val="0"/>
        <w:spacing w:line="560" w:lineRule="exact"/>
        <w:ind w:firstLineChars="200" w:firstLine="643"/>
        <w:rPr>
          <w:b/>
          <w:szCs w:val="24"/>
        </w:rPr>
      </w:pPr>
      <w:r>
        <w:rPr>
          <w:rFonts w:hint="eastAsia"/>
          <w:b/>
          <w:bCs/>
          <w:szCs w:val="24"/>
        </w:rPr>
        <w:t>客户保证上述送达地址是准确、有效的，承诺在通讯及</w:t>
      </w:r>
      <w:r>
        <w:rPr>
          <w:rFonts w:hint="eastAsia"/>
          <w:b/>
          <w:bCs/>
          <w:szCs w:val="24"/>
        </w:rPr>
        <w:lastRenderedPageBreak/>
        <w:t>联系方式发生变更时，及时通知发卡机构，否则发卡机构按最近预留的联系方式送达的文件均为有效送达，由此引起的相关经济和法律责任由客户承担。</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 xml:space="preserve">  </w:t>
      </w:r>
      <w:r>
        <w:rPr>
          <w:rFonts w:hint="eastAsia"/>
          <w:szCs w:val="24"/>
        </w:rPr>
        <w:t>声明</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w:t>
      </w:r>
      <w:r>
        <w:rPr>
          <w:rFonts w:hint="eastAsia"/>
          <w:b/>
          <w:szCs w:val="24"/>
        </w:rPr>
        <w:t>机构责任的条款。</w:t>
      </w:r>
    </w:p>
    <w:p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rsidR="00DC6B98" w:rsidRDefault="00DC6B98">
      <w:pPr>
        <w:spacing w:line="560" w:lineRule="exact"/>
      </w:pPr>
    </w:p>
    <w:p w:rsidR="00DC6B98" w:rsidRDefault="00DC6B98" w:rsidP="00D31CD0">
      <w:pPr>
        <w:spacing w:line="560" w:lineRule="exact"/>
      </w:pPr>
    </w:p>
    <w:p w:rsidR="00DC6B98" w:rsidRDefault="00DC6B98" w:rsidP="00D31CD0">
      <w:pPr>
        <w:spacing w:line="560" w:lineRule="exact"/>
      </w:pPr>
    </w:p>
    <w:sectPr w:rsidR="00DC6B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55" w:rsidRDefault="00643D55">
      <w:r>
        <w:separator/>
      </w:r>
    </w:p>
  </w:endnote>
  <w:endnote w:type="continuationSeparator" w:id="0">
    <w:p w:rsidR="00643D55" w:rsidRDefault="0064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8" w:rsidRDefault="00643D55">
    <w:pPr>
      <w:pStyle w:val="a5"/>
      <w:jc w:val="center"/>
    </w:pPr>
    <w:r>
      <w:fldChar w:fldCharType="begin"/>
    </w:r>
    <w:r>
      <w:instrText xml:space="preserve"> PAGE   \* MERGEFORMAT </w:instrText>
    </w:r>
    <w:r>
      <w:fldChar w:fldCharType="separate"/>
    </w:r>
    <w:r w:rsidR="00D31CD0" w:rsidRPr="00D31CD0">
      <w:rPr>
        <w:noProof/>
        <w:lang w:val="zh-CN"/>
      </w:rPr>
      <w:t>3</w:t>
    </w:r>
    <w:r>
      <w:rPr>
        <w:lang w:val="zh-CN"/>
      </w:rPr>
      <w:fldChar w:fldCharType="end"/>
    </w:r>
  </w:p>
  <w:p w:rsidR="00DC6B98" w:rsidRDefault="00DC6B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55" w:rsidRDefault="00643D55">
      <w:r>
        <w:separator/>
      </w:r>
    </w:p>
  </w:footnote>
  <w:footnote w:type="continuationSeparator" w:id="0">
    <w:p w:rsidR="00643D55" w:rsidRDefault="00643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1215B0"/>
    <w:rsid w:val="00133452"/>
    <w:rsid w:val="0018069C"/>
    <w:rsid w:val="00187301"/>
    <w:rsid w:val="001E54B3"/>
    <w:rsid w:val="003109A1"/>
    <w:rsid w:val="00455A55"/>
    <w:rsid w:val="004D3DE2"/>
    <w:rsid w:val="004D63DD"/>
    <w:rsid w:val="00562F54"/>
    <w:rsid w:val="005958EB"/>
    <w:rsid w:val="005D78BB"/>
    <w:rsid w:val="00643D55"/>
    <w:rsid w:val="00721FE5"/>
    <w:rsid w:val="0075796E"/>
    <w:rsid w:val="00760BAD"/>
    <w:rsid w:val="00770410"/>
    <w:rsid w:val="007833E1"/>
    <w:rsid w:val="00797F02"/>
    <w:rsid w:val="008D1081"/>
    <w:rsid w:val="00976350"/>
    <w:rsid w:val="009B38DE"/>
    <w:rsid w:val="009C7E6D"/>
    <w:rsid w:val="009D1C66"/>
    <w:rsid w:val="00A025F4"/>
    <w:rsid w:val="00A62C6A"/>
    <w:rsid w:val="00A84F35"/>
    <w:rsid w:val="00AF6A0C"/>
    <w:rsid w:val="00B240CA"/>
    <w:rsid w:val="00B65ADB"/>
    <w:rsid w:val="00B716B3"/>
    <w:rsid w:val="00BB3354"/>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64B113-FE15-4609-B347-682CFD0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2"/>
    <w:qFormat/>
    <w:rPr>
      <w:b/>
      <w:bCs/>
    </w:rPr>
  </w:style>
  <w:style w:type="character" w:styleId="a9">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Char1">
    <w:name w:val="页眉 Char"/>
    <w:basedOn w:val="a0"/>
    <w:link w:val="a6"/>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Char0">
    <w:name w:val="批注框文本 Char"/>
    <w:basedOn w:val="a0"/>
    <w:link w:val="a4"/>
    <w:rPr>
      <w:rFonts w:ascii="Times New Roman" w:eastAsia="仿宋_GB2312" w:hAnsi="Times New Roman" w:cs="Times New Roman"/>
      <w:kern w:val="2"/>
      <w:sz w:val="18"/>
      <w:szCs w:val="18"/>
    </w:rPr>
  </w:style>
  <w:style w:type="character" w:customStyle="1" w:styleId="Char">
    <w:name w:val="批注文字 Char"/>
    <w:basedOn w:val="a0"/>
    <w:link w:val="a3"/>
    <w:uiPriority w:val="99"/>
    <w:qFormat/>
    <w:rPr>
      <w:rFonts w:ascii="Times New Roman" w:eastAsia="仿宋_GB2312" w:hAnsi="Times New Roman" w:cs="Times New Roman"/>
      <w:kern w:val="2"/>
      <w:sz w:val="32"/>
    </w:rPr>
  </w:style>
  <w:style w:type="character" w:customStyle="1" w:styleId="Char2">
    <w:name w:val="批注主题 Char"/>
    <w:basedOn w:val="Char"/>
    <w:link w:val="a8"/>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办公室文印</cp:lastModifiedBy>
  <cp:revision>25</cp:revision>
  <dcterms:created xsi:type="dcterms:W3CDTF">2022-09-30T02:31:00Z</dcterms:created>
  <dcterms:modified xsi:type="dcterms:W3CDTF">2022-12-02T07:35:00Z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